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8.jpg" ContentType="image/jpeg"/>
  <Override PartName="/word/media/rId418.png" ContentType="image/png"/>
  <Override PartName="/word/media/rId424.png" ContentType="image/png"/>
  <Override PartName="/word/media/rId479.jpg" ContentType="image/jpeg"/>
  <Override PartName="/word/media/rId474.png" ContentType="image/png"/>
  <Override PartName="/word/media/rId484.png" ContentType="image/png"/>
  <Override PartName="/word/media/rId489.png" ContentType="image/png"/>
  <Override PartName="/word/media/rId470.png" ContentType="image/png"/>
  <Override PartName="/word/media/rId482.png" ContentType="image/png"/>
  <Override PartName="/word/media/rId465.jpg" ContentType="image/jpeg"/>
  <Override PartName="/word/media/rId487.jpg" ContentType="image/jpe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Override PartName="/word/media/rId431.png" ContentType="image/png"/>
  <Override PartName="/word/media/rId446.png" ContentType="image/png"/>
  <Override PartName="/word/media/rId451.png" ContentType="image/png"/>
  <Override PartName="/word/media/rId452.png" ContentType="image/png"/>
  <Override PartName="/word/media/rId453.png" ContentType="image/png"/>
  <Override PartName="/word/media/rId459.png" ContentType="image/png"/>
  <Override PartName="/word/media/rId4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Gene expression</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Coronavirus phylogenetics</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confounding factors in genomic analysis.</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learning-objectives-9"/>
    <w:p>
      <w:pPr>
        <w:pStyle w:val="Heading4"/>
      </w:pPr>
      <w:r>
        <w:rPr>
          <w:rStyle w:val="SectionNumber"/>
        </w:rPr>
        <w:t xml:space="preserve">8.25.0.1</w:t>
      </w:r>
      <w:r>
        <w:tab/>
      </w:r>
      <w:r>
        <w:t xml:space="preserve">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10"/>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1"/>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63"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7" w:name="learning-objectives-12"/>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7"/>
        </w:numPr>
        <w:pStyle w:val="Compact"/>
      </w:pPr>
      <w:r>
        <w:t xml:space="preserve">Describe the phenomenon of genetic drift.</w:t>
      </w:r>
    </w:p>
    <w:p>
      <w:pPr>
        <w:numPr>
          <w:ilvl w:val="0"/>
          <w:numId w:val="1097"/>
        </w:numPr>
        <w:pStyle w:val="Compact"/>
      </w:pPr>
      <w:r>
        <w:t xml:space="preserve">Explain why random draws from a binomial distribution are a good way to mimic the effect of drift.</w:t>
      </w:r>
    </w:p>
    <w:p>
      <w:pPr>
        <w:numPr>
          <w:ilvl w:val="0"/>
          <w:numId w:val="1097"/>
        </w:numPr>
        <w:pStyle w:val="Compact"/>
      </w:pPr>
      <w:r>
        <w:t xml:space="preserve">Interpret allele frequency patterns that occur as a result of drift.</w:t>
      </w:r>
    </w:p>
    <w:p>
      <w:pPr>
        <w:numPr>
          <w:ilvl w:val="0"/>
          <w:numId w:val="1097"/>
        </w:numPr>
        <w:pStyle w:val="Compact"/>
      </w:pPr>
      <w:r>
        <w:t xml:space="preserve">Write a for loop in R.</w:t>
      </w:r>
    </w:p>
    <w:p>
      <w:pPr>
        <w:numPr>
          <w:ilvl w:val="0"/>
          <w:numId w:val="1097"/>
        </w:numPr>
        <w:pStyle w:val="Compact"/>
      </w:pPr>
      <w:r>
        <w:t xml:space="preserve">Write a function to run code multiple times with different parameters.</w:t>
      </w:r>
    </w:p>
    <w:bookmarkEnd w:id="417"/>
    <w:bookmarkStart w:id="421"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8"/>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19" w:name="fig60"/>
      <w:r>
        <w:t xml:space="preserve">Figure </w:t>
      </w:r>
      <w:fldSimple w:instr="SEQ Figure \* ARABIC ">
        <w:r>
          <w:t>60</w:t>
        </w:r>
      </w:fldSimple>
      <w:r>
        <w:t xml:space="preserve">:</w:t>
      </w:r>
      <w:r>
        <w:t xml:space="preserve"> </w:t>
      </w:r>
      <w:bookmarkEnd w:id="419"/>
      <w:r>
        <w:rPr>
          <w:bCs/>
          <w:b/>
        </w:rPr>
        <w:t xml:space="preserve">Fig. 1 (</w:t>
      </w:r>
      <w:hyperlink r:id="rId420">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1"/>
    <w:bookmarkStart w:id="423"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8"/>
        </w:numPr>
        <w:pStyle w:val="Compact"/>
      </w:pPr>
      <w:r>
        <w:t xml:space="preserve">Mates randomly</w:t>
      </w:r>
    </w:p>
    <w:p>
      <w:pPr>
        <w:numPr>
          <w:ilvl w:val="0"/>
          <w:numId w:val="1098"/>
        </w:numPr>
        <w:pStyle w:val="Compact"/>
      </w:pPr>
      <w:r>
        <w:t xml:space="preserve">Number of individuals remains constant between generations</w:t>
      </w:r>
    </w:p>
    <w:p>
      <w:pPr>
        <w:numPr>
          <w:ilvl w:val="0"/>
          <w:numId w:val="1098"/>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2">
        <w:r>
          <w:rPr>
            <w:rStyle w:val="Hyperlink"/>
          </w:rPr>
          <w:t xml:space="preserve">12,800–14,400</w:t>
        </w:r>
      </w:hyperlink>
      <w:r>
        <w:t xml:space="preserve"> </w:t>
      </w:r>
      <w:r>
        <w:t xml:space="preserve">individuals, even though its actual size is around 8 billion.</w:t>
      </w:r>
    </w:p>
    <w:bookmarkEnd w:id="423"/>
    <w:bookmarkStart w:id="427" w:name="allele-frequency-fixation-and-loss"/>
    <w:p>
      <w:pPr>
        <w:pStyle w:val="Heading2"/>
      </w:pPr>
      <w:r>
        <w:rPr>
          <w:rStyle w:val="SectionNumber"/>
        </w:rPr>
        <w:t xml:space="preserve">10.3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Trajectories of alleles at two loci fixing, at AF = 0 and AF = 1."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4"/>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5" w:name="fig61"/>
      <w:r>
        <w:t xml:space="preserve">Figure </w:t>
      </w:r>
      <w:fldSimple w:instr="SEQ Figure \* ARABIC ">
        <w:r>
          <w:t>61</w:t>
        </w:r>
      </w:fldSimple>
      <w:r>
        <w:t xml:space="preserve">:</w:t>
      </w:r>
      <w:r>
        <w:t xml:space="preserve"> </w:t>
      </w:r>
      <w:bookmarkEnd w:id="425"/>
      <w:r>
        <w:rPr>
          <w:bCs/>
          <w:b/>
        </w:rPr>
        <w:t xml:space="preserve">Fig. 2 (</w:t>
      </w:r>
      <w:hyperlink r:id="rId426">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427"/>
    <w:bookmarkStart w:id="430"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9"/>
        </w:numPr>
        <w:pStyle w:val="Compact"/>
      </w:pPr>
      <w:r>
        <w:t xml:space="preserve">For every individual, we perform a coin flip to determine whether or not they have the allele.</w:t>
      </w:r>
    </w:p>
    <w:p>
      <w:pPr>
        <w:numPr>
          <w:ilvl w:val="0"/>
          <w:numId w:val="1099"/>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100"/>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8"/>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29" w:name="fig62"/>
      <w:r>
        <w:t xml:space="preserve">Figure </w:t>
      </w:r>
      <w:fldSimple w:instr="SEQ Figure \* ARABIC ">
        <w:r>
          <w:t>62</w:t>
        </w:r>
      </w:fldSimple>
      <w:r>
        <w:t xml:space="preserve">:</w:t>
      </w:r>
      <w:r>
        <w:t xml:space="preserve"> </w:t>
      </w:r>
      <w:bookmarkEnd w:id="429"/>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0"/>
    <w:bookmarkStart w:id="433"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10.1: 100,000 draws from a binomial distribution."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2" w:name="fig63"/>
      <w:r>
        <w:t xml:space="preserve">Figure </w:t>
      </w:r>
      <w:fldSimple w:instr="SEQ Figure \* ARABIC ">
        <w:r>
          <w:t>63</w:t>
        </w:r>
      </w:fldSimple>
      <w:r>
        <w:t xml:space="preserve">:</w:t>
      </w:r>
      <w:r>
        <w:t xml:space="preserve"> </w:t>
      </w:r>
      <w:bookmarkEnd w:id="432"/>
      <w:r>
        <w:t xml:space="preserve">Figure 10.1: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3"/>
    <w:bookmarkStart w:id="436" w:name="setup-6"/>
    <w:p>
      <w:pPr>
        <w:pStyle w:val="Heading2"/>
      </w:pPr>
      <w:r>
        <w:rPr>
          <w:rStyle w:val="SectionNumber"/>
        </w:rPr>
        <w:t xml:space="preserve">10.6</w:t>
      </w:r>
      <w:r>
        <w:tab/>
      </w:r>
      <w:r>
        <w:t xml:space="preserve">Setup</w:t>
      </w:r>
    </w:p>
    <w:bookmarkStart w:id="434"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4"/>
    <w:bookmarkStart w:id="435"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5"/>
    <w:bookmarkEnd w:id="436"/>
    <w:bookmarkStart w:id="437"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1"/>
        </w:numPr>
        <w:pStyle w:val="Compact"/>
      </w:pPr>
      <w:r>
        <w:rPr>
          <w:rStyle w:val="VerbatimChar"/>
        </w:rPr>
        <w:t xml:space="preserve">n</w:t>
      </w:r>
      <w:r>
        <w:t xml:space="preserve">: how many times we’re drawing from the distribution</w:t>
      </w:r>
    </w:p>
    <w:p>
      <w:pPr>
        <w:numPr>
          <w:ilvl w:val="0"/>
          <w:numId w:val="1101"/>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1"/>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437"/>
    <w:bookmarkStart w:id="438"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8"/>
    <w:bookmarkStart w:id="439"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39"/>
    <w:bookmarkStart w:id="440"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0"/>
    <w:bookmarkStart w:id="441"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1"/>
    <w:bookmarkStart w:id="442"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2"/>
    <w:bookmarkStart w:id="443"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3"/>
    <w:bookmarkStart w:id="444"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4"/>
    <w:bookmarkStart w:id="445"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5"/>
    <w:bookmarkStart w:id="447"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7"/>
    <w:bookmarkStart w:id="449"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8">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2"/>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2"/>
        </w:numPr>
        <w:pStyle w:val="Compact"/>
      </w:pPr>
      <w:r>
        <w:rPr>
          <w:bCs/>
          <w:b/>
        </w:rPr>
        <w:t xml:space="preserve">Argument(s)</w:t>
      </w:r>
      <w:r>
        <w:t xml:space="preserve"> </w:t>
      </w:r>
      <w:r>
        <w:t xml:space="preserve">− Optional; input values that the function performs operations on</w:t>
      </w:r>
    </w:p>
    <w:p>
      <w:pPr>
        <w:numPr>
          <w:ilvl w:val="0"/>
          <w:numId w:val="1102"/>
        </w:numPr>
        <w:pStyle w:val="Compact"/>
      </w:pPr>
      <w:r>
        <w:rPr>
          <w:bCs/>
          <w:b/>
        </w:rPr>
        <w:t xml:space="preserve">Body</w:t>
      </w:r>
      <w:r>
        <w:t xml:space="preserve"> </w:t>
      </w:r>
      <w:r>
        <w:t xml:space="preserve">− The code that describes what the function does</w:t>
      </w:r>
    </w:p>
    <w:p>
      <w:pPr>
        <w:numPr>
          <w:ilvl w:val="0"/>
          <w:numId w:val="1102"/>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49"/>
    <w:bookmarkStart w:id="450"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0"/>
    <w:bookmarkStart w:id="454"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4"/>
    <w:bookmarkStart w:id="455"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3"/>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3"/>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3"/>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3"/>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5"/>
    <w:bookmarkStart w:id="462"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6" w:name="learning-objectives-13"/>
    <w:p>
      <w:pPr>
        <w:pStyle w:val="Heading4"/>
      </w:pPr>
      <w:r>
        <w:rPr>
          <w:rStyle w:val="SectionNumber"/>
        </w:rPr>
        <w:t xml:space="preserve">10.21.0.1</w:t>
      </w:r>
      <w:r>
        <w:tab/>
      </w:r>
      <w:r>
        <w:t xml:space="preserve">Learning Objectives</w:t>
      </w:r>
    </w:p>
    <w:p>
      <w:pPr>
        <w:numPr>
          <w:ilvl w:val="0"/>
          <w:numId w:val="1104"/>
        </w:numPr>
        <w:pStyle w:val="Compact"/>
      </w:pPr>
      <w:r>
        <w:t xml:space="preserve">Practice writing functions in R</w:t>
      </w:r>
    </w:p>
    <w:p>
      <w:pPr>
        <w:numPr>
          <w:ilvl w:val="0"/>
          <w:numId w:val="1104"/>
        </w:numPr>
        <w:pStyle w:val="Compact"/>
      </w:pPr>
      <w:r>
        <w:t xml:space="preserve">Interpret allele frequency trajectories under selection and drift</w:t>
      </w:r>
    </w:p>
    <w:bookmarkEnd w:id="456"/>
    <w:bookmarkStart w:id="461"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7">
        <w:r>
          <w:rPr>
            <w:rStyle w:val="Hyperlink"/>
          </w:rPr>
          <w:t xml:space="preserve">extremely small</w:t>
        </w:r>
      </w:hyperlink>
      <w:r>
        <w:t xml:space="preserve"> </w:t>
      </w:r>
      <w:r>
        <w:t xml:space="preserve">– the largest known selection coefficients in humans are around</w:t>
      </w:r>
      <w:r>
        <w:t xml:space="preserve"> </w:t>
      </w:r>
      <w:hyperlink r:id="rId458">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1"/>
    <w:bookmarkEnd w:id="462"/>
    <w:bookmarkEnd w:id="463"/>
    <w:bookmarkStart w:id="503"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64" w:name="learning-objectives-14"/>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105"/>
        </w:numPr>
        <w:pStyle w:val="Compact"/>
      </w:pPr>
      <w:r>
        <w:t xml:space="preserve">Define expression and splicing quantitative trait loci.</w:t>
      </w:r>
    </w:p>
    <w:p>
      <w:pPr>
        <w:numPr>
          <w:ilvl w:val="0"/>
          <w:numId w:val="1105"/>
        </w:numPr>
        <w:pStyle w:val="Compact"/>
      </w:pPr>
      <w:r>
        <w:t xml:space="preserve">Explain the challenge of multiple testing in eQTL studies and how it is typically handled.</w:t>
      </w:r>
    </w:p>
    <w:p>
      <w:pPr>
        <w:numPr>
          <w:ilvl w:val="0"/>
          <w:numId w:val="1105"/>
        </w:numPr>
        <w:pStyle w:val="Compact"/>
      </w:pPr>
      <w:r>
        <w:t xml:space="preserve">Navigate the GTEx Portal to find expression data for genes of interest.</w:t>
      </w:r>
    </w:p>
    <w:bookmarkEnd w:id="464"/>
    <w:bookmarkStart w:id="468"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65"/>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66" w:name="fig64"/>
      <w:r>
        <w:t xml:space="preserve">Figure </w:t>
      </w:r>
      <w:fldSimple w:instr="SEQ Figure \* ARABIC ">
        <w:r>
          <w:t>64</w:t>
        </w:r>
      </w:fldSimple>
      <w:r>
        <w:t xml:space="preserve">:</w:t>
      </w:r>
      <w:r>
        <w:t xml:space="preserve"> </w:t>
      </w:r>
      <w:bookmarkEnd w:id="466"/>
      <w:r>
        <w:rPr>
          <w:bCs/>
          <w:b/>
        </w:rPr>
        <w:t xml:space="preserve">Fig. 1 (</w:t>
      </w:r>
      <w:hyperlink r:id="rId467">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68"/>
    <w:bookmarkStart w:id="472"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69">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70"/>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71" w:name="fig65"/>
      <w:r>
        <w:t xml:space="preserve">Figure </w:t>
      </w:r>
      <w:fldSimple w:instr="SEQ Figure \* ARABIC ">
        <w:r>
          <w:t>65</w:t>
        </w:r>
      </w:fldSimple>
      <w:r>
        <w:t xml:space="preserve">:</w:t>
      </w:r>
      <w:r>
        <w:t xml:space="preserve"> </w:t>
      </w:r>
      <w:bookmarkEnd w:id="471"/>
      <w:r>
        <w:rPr>
          <w:bCs/>
          <w:b/>
        </w:rPr>
        <w:t xml:space="preserve">Fig. 2 (</w:t>
      </w:r>
      <w:hyperlink r:id="rId469">
        <w:r>
          <w:rPr>
            <w:rStyle w:val="Hyperlink"/>
            <w:bCs/>
            <w:b/>
          </w:rPr>
          <w:t xml:space="preserve">source</w:t>
        </w:r>
      </w:hyperlink>
      <w:r>
        <w:rPr>
          <w:bCs/>
          <w:b/>
        </w:rPr>
        <w:t xml:space="preserve">).</w:t>
      </w:r>
      <w:r>
        <w:t xml:space="preserve"> </w:t>
      </w:r>
      <w:r>
        <w:t xml:space="preserve">Summary of individuals sequenced by GTEx.</w:t>
      </w:r>
    </w:p>
    <w:bookmarkEnd w:id="472"/>
    <w:bookmarkStart w:id="477"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73">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6"/>
        </w:numPr>
        <w:pStyle w:val="Compact"/>
      </w:pPr>
      <w:r>
        <w:t xml:space="preserve">Violin plots depicting inter-individual variation in gene expression across all tissues</w:t>
      </w:r>
    </w:p>
    <w:p>
      <w:pPr>
        <w:numPr>
          <w:ilvl w:val="0"/>
          <w:numId w:val="1106"/>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74"/>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75" w:name="fig66"/>
      <w:r>
        <w:t xml:space="preserve">Figure </w:t>
      </w:r>
      <w:fldSimple w:instr="SEQ Figure \* ARABIC ">
        <w:r>
          <w:t>66</w:t>
        </w:r>
      </w:fldSimple>
      <w:r>
        <w:t xml:space="preserve">:</w:t>
      </w:r>
      <w:r>
        <w:t xml:space="preserve"> </w:t>
      </w:r>
      <w:bookmarkEnd w:id="475"/>
      <w:r>
        <w:rPr>
          <w:bCs/>
          <w:b/>
        </w:rPr>
        <w:t xml:space="preserve">Fig. 3 (</w:t>
      </w:r>
      <w:hyperlink r:id="rId476">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77"/>
    <w:bookmarkStart w:id="478"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7"/>
        </w:numPr>
        <w:pStyle w:val="Compact"/>
      </w:pPr>
      <w:r>
        <w:t xml:space="preserve">Environment (ex: diet, climate, disease)</w:t>
      </w:r>
    </w:p>
    <w:p>
      <w:pPr>
        <w:numPr>
          <w:ilvl w:val="0"/>
          <w:numId w:val="1107"/>
        </w:numPr>
        <w:pStyle w:val="Compact"/>
      </w:pPr>
      <w:r>
        <w:t xml:space="preserve">Stochasticity/noise</w:t>
      </w:r>
    </w:p>
    <w:p>
      <w:pPr>
        <w:numPr>
          <w:ilvl w:val="0"/>
          <w:numId w:val="1107"/>
        </w:numPr>
        <w:pStyle w:val="Compact"/>
      </w:pPr>
      <w:r>
        <w:t xml:space="preserve">Epigenetics (methylation, repressive/activating histone marks)</w:t>
      </w:r>
    </w:p>
    <w:p>
      <w:pPr>
        <w:numPr>
          <w:ilvl w:val="0"/>
          <w:numId w:val="1107"/>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78"/>
    <w:bookmarkStart w:id="481"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79"/>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80" w:name="fig67"/>
      <w:r>
        <w:t xml:space="preserve">Figure </w:t>
      </w:r>
      <w:fldSimple w:instr="SEQ Figure \* ARABIC ">
        <w:r>
          <w:t>67</w:t>
        </w:r>
      </w:fldSimple>
      <w:r>
        <w:t xml:space="preserve">:</w:t>
      </w:r>
      <w:r>
        <w:t xml:space="preserve"> </w:t>
      </w:r>
      <w:bookmarkEnd w:id="480"/>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81"/>
    <w:bookmarkStart w:id="486"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82"/>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83" w:name="fig68"/>
      <w:r>
        <w:t xml:space="preserve">Figure </w:t>
      </w:r>
      <w:fldSimple w:instr="SEQ Figure \* ARABIC ">
        <w:r>
          <w:t>68</w:t>
        </w:r>
      </w:fldSimple>
      <w:r>
        <w:t xml:space="preserve">:</w:t>
      </w:r>
      <w:r>
        <w:t xml:space="preserve"> </w:t>
      </w:r>
      <w:bookmarkEnd w:id="483"/>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84"/>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85" w:name="fig69"/>
      <w:r>
        <w:t xml:space="preserve">Figure </w:t>
      </w:r>
      <w:fldSimple w:instr="SEQ Figure \* ARABIC ">
        <w:r>
          <w:t>69</w:t>
        </w:r>
      </w:fldSimple>
      <w:r>
        <w:t xml:space="preserve">:</w:t>
      </w:r>
      <w:r>
        <w:t xml:space="preserve"> </w:t>
      </w:r>
      <w:bookmarkEnd w:id="485"/>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86"/>
    <w:bookmarkStart w:id="491"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8"/>
        </w:numPr>
        <w:pStyle w:val="Compact"/>
      </w:pPr>
      <w:r>
        <w:t xml:space="preserve">Create or destroying a splicing donor/acceptor site</w:t>
      </w:r>
    </w:p>
    <w:p>
      <w:pPr>
        <w:numPr>
          <w:ilvl w:val="0"/>
          <w:numId w:val="1108"/>
        </w:numPr>
        <w:pStyle w:val="Compact"/>
      </w:pPr>
      <w:r>
        <w:t xml:space="preserve">Changing the binding site for a protein that regulates splicing</w:t>
      </w:r>
    </w:p>
    <w:p>
      <w:pPr>
        <w:numPr>
          <w:ilvl w:val="0"/>
          <w:numId w:val="1108"/>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87"/>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88" w:name="fig70"/>
      <w:r>
        <w:t xml:space="preserve">Figure </w:t>
      </w:r>
      <w:fldSimple w:instr="SEQ Figure \* ARABIC ">
        <w:r>
          <w:t>70</w:t>
        </w:r>
      </w:fldSimple>
      <w:r>
        <w:t xml:space="preserve">:</w:t>
      </w:r>
      <w:r>
        <w:t xml:space="preserve"> </w:t>
      </w:r>
      <w:bookmarkEnd w:id="488"/>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89"/>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90" w:name="fig71"/>
      <w:r>
        <w:t xml:space="preserve">Figure </w:t>
      </w:r>
      <w:fldSimple w:instr="SEQ Figure \* ARABIC ">
        <w:r>
          <w:t>71</w:t>
        </w:r>
      </w:fldSimple>
      <w:r>
        <w:t xml:space="preserve">:</w:t>
      </w:r>
      <w:r>
        <w:t xml:space="preserve"> </w:t>
      </w:r>
      <w:bookmarkEnd w:id="490"/>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91"/>
    <w:bookmarkStart w:id="493"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92"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92"/>
    <w:bookmarkEnd w:id="493"/>
    <w:bookmarkStart w:id="496" w:name="data-5"/>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94">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9"/>
        </w:numPr>
        <w:pStyle w:val="Compact"/>
      </w:pPr>
      <w:r>
        <w:rPr>
          <w:rStyle w:val="VerbatimChar"/>
        </w:rPr>
        <w:t xml:space="preserve">Sample</w:t>
      </w:r>
      <w:r>
        <w:t xml:space="preserve">: Individual sequenced</w:t>
      </w:r>
    </w:p>
    <w:p>
      <w:pPr>
        <w:numPr>
          <w:ilvl w:val="0"/>
          <w:numId w:val="1109"/>
        </w:numPr>
        <w:pStyle w:val="Compact"/>
      </w:pPr>
      <w:r>
        <w:rPr>
          <w:rStyle w:val="VerbatimChar"/>
        </w:rPr>
        <w:t xml:space="preserve">Age</w:t>
      </w:r>
      <w:r>
        <w:t xml:space="preserve">: Individual’s age range</w:t>
      </w:r>
    </w:p>
    <w:p>
      <w:pPr>
        <w:numPr>
          <w:ilvl w:val="0"/>
          <w:numId w:val="1109"/>
        </w:numPr>
        <w:pStyle w:val="Compact"/>
      </w:pPr>
      <w:r>
        <w:rPr>
          <w:rStyle w:val="VerbatimChar"/>
        </w:rPr>
        <w:t xml:space="preserve">Sex</w:t>
      </w:r>
      <w:r>
        <w:t xml:space="preserve">: Individual’s sex</w:t>
      </w:r>
    </w:p>
    <w:p>
      <w:pPr>
        <w:numPr>
          <w:ilvl w:val="0"/>
          <w:numId w:val="1109"/>
        </w:numPr>
        <w:pStyle w:val="Compact"/>
      </w:pPr>
      <w:r>
        <w:rPr>
          <w:rStyle w:val="VerbatimChar"/>
        </w:rPr>
        <w:t xml:space="preserve">Death_Hardy</w:t>
      </w:r>
      <w:r>
        <w:t xml:space="preserve">: Individual’s cause of death, measured on the</w:t>
      </w:r>
      <w:r>
        <w:t xml:space="preserve"> </w:t>
      </w:r>
      <w:hyperlink r:id="rId495">
        <w:r>
          <w:rPr>
            <w:rStyle w:val="Hyperlink"/>
          </w:rPr>
          <w:t xml:space="preserve">Hardy Scale</w:t>
        </w:r>
      </w:hyperlink>
    </w:p>
    <w:p>
      <w:pPr>
        <w:numPr>
          <w:ilvl w:val="0"/>
          <w:numId w:val="1109"/>
        </w:numPr>
        <w:pStyle w:val="Compact"/>
      </w:pPr>
      <w:r>
        <w:rPr>
          <w:rStyle w:val="VerbatimChar"/>
        </w:rPr>
        <w:t xml:space="preserve">Tissue</w:t>
      </w:r>
      <w:r>
        <w:t xml:space="preserve">: Tissue measured</w:t>
      </w:r>
    </w:p>
    <w:p>
      <w:pPr>
        <w:numPr>
          <w:ilvl w:val="0"/>
          <w:numId w:val="1109"/>
        </w:numPr>
        <w:pStyle w:val="Compact"/>
      </w:pPr>
      <w:r>
        <w:rPr>
          <w:rStyle w:val="VerbatimChar"/>
        </w:rPr>
        <w:t xml:space="preserve">Gene_ID</w:t>
      </w:r>
      <w:r>
        <w:t xml:space="preserve">: Ensembl gene ID</w:t>
      </w:r>
    </w:p>
    <w:p>
      <w:pPr>
        <w:numPr>
          <w:ilvl w:val="0"/>
          <w:numId w:val="1109"/>
        </w:numPr>
        <w:pStyle w:val="Compact"/>
      </w:pPr>
      <w:r>
        <w:rPr>
          <w:rStyle w:val="VerbatimChar"/>
        </w:rPr>
        <w:t xml:space="preserve">Gene_Name</w:t>
      </w:r>
      <w:r>
        <w:t xml:space="preserve">: The common gene name</w:t>
      </w:r>
    </w:p>
    <w:p>
      <w:pPr>
        <w:numPr>
          <w:ilvl w:val="0"/>
          <w:numId w:val="1109"/>
        </w:numPr>
        <w:pStyle w:val="Compact"/>
      </w:pPr>
      <w:r>
        <w:rPr>
          <w:rStyle w:val="VerbatimChar"/>
        </w:rPr>
        <w:t xml:space="preserve">Counts</w:t>
      </w:r>
      <w:r>
        <w:t xml:space="preserve">: Expression level for the gene</w:t>
      </w:r>
    </w:p>
    <w:p>
      <w:pPr>
        <w:numPr>
          <w:ilvl w:val="1"/>
          <w:numId w:val="1110"/>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96"/>
    <w:bookmarkStart w:id="498"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97">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factor(Sex), data = subset, init.theta = 0.9820746913,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-2.0205  -0.9991  -0.5441  -0.0219   4.9984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5.5530     0.1709  32.494  &lt; 2e-16 ***</w:t>
      </w:r>
      <w:r>
        <w:br/>
      </w:r>
      <w:r>
        <w:rPr>
          <w:rStyle w:val="VerbatimChar"/>
        </w:rPr>
        <w:t xml:space="preserve">## factor(Sex)M  -0.7907     0.2121  -3.727 0.000194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Binomial(0.9821) family taken to be 1)</w:t>
      </w:r>
      <w:r>
        <w:br/>
      </w:r>
      <w:r>
        <w:rPr>
          <w:rStyle w:val="VerbatimChar"/>
        </w:rPr>
        <w:t xml:space="preserve">## </w:t>
      </w:r>
      <w:r>
        <w:br/>
      </w:r>
      <w:r>
        <w:rPr>
          <w:rStyle w:val="VerbatimChar"/>
        </w:rPr>
        <w:t xml:space="preserve">##     Null deviance: 129.67  on 99  degrees of freedom</w:t>
      </w:r>
      <w:r>
        <w:br/>
      </w:r>
      <w:r>
        <w:rPr>
          <w:rStyle w:val="VerbatimChar"/>
        </w:rPr>
        <w:t xml:space="preserve">## Residual deviance: 115.01  on 98  degrees of freedom</w:t>
      </w:r>
      <w:r>
        <w:br/>
      </w:r>
      <w:r>
        <w:rPr>
          <w:rStyle w:val="VerbatimChar"/>
        </w:rPr>
        <w:t xml:space="preserve">## AIC: 1214.5</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0.982 </w:t>
      </w:r>
      <w:r>
        <w:br/>
      </w:r>
      <w:r>
        <w:rPr>
          <w:rStyle w:val="VerbatimChar"/>
        </w:rPr>
        <w:t xml:space="preserve">##           Std. Err.:  0.123 </w:t>
      </w:r>
      <w:r>
        <w:br/>
      </w:r>
      <w:r>
        <w:rPr>
          <w:rStyle w:val="VerbatimChar"/>
        </w:rPr>
        <w:t xml:space="preserve">## </w:t>
      </w:r>
      <w:r>
        <w:br/>
      </w:r>
      <w:r>
        <w:rPr>
          <w:rStyle w:val="VerbatimChar"/>
        </w:rPr>
        <w:t xml:space="preserve">##  2 x log-likelihood:  -1208.475</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98"/>
    <w:bookmarkStart w:id="499"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11"/>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11"/>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11"/>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99"/>
    <w:bookmarkStart w:id="502" w:name="homework-10"/>
    <w:p>
      <w:pPr>
        <w:pStyle w:val="Heading2"/>
      </w:pPr>
      <w:r>
        <w:rPr>
          <w:rStyle w:val="SectionNumber"/>
        </w:rPr>
        <w:t xml:space="preserve">11.12</w:t>
      </w:r>
      <w:r>
        <w:tab/>
      </w:r>
      <w:r>
        <w:t xml:space="preserve">Homework</w:t>
      </w:r>
    </w:p>
    <w:bookmarkStart w:id="500" w:name="learning-objectives-15"/>
    <w:p>
      <w:pPr>
        <w:pStyle w:val="Heading4"/>
      </w:pPr>
      <w:r>
        <w:rPr>
          <w:rStyle w:val="SectionNumber"/>
        </w:rPr>
        <w:t xml:space="preserve">11.12.0.1</w:t>
      </w:r>
      <w:r>
        <w:tab/>
      </w:r>
      <w:r>
        <w:t xml:space="preserve">Learning Objectives</w:t>
      </w:r>
    </w:p>
    <w:p>
      <w:pPr>
        <w:numPr>
          <w:ilvl w:val="0"/>
          <w:numId w:val="1112"/>
        </w:numPr>
        <w:pStyle w:val="Compact"/>
      </w:pPr>
      <w:r>
        <w:t xml:space="preserve">Become familiar with the data available in the GTEx dataset</w:t>
      </w:r>
    </w:p>
    <w:p>
      <w:pPr>
        <w:numPr>
          <w:ilvl w:val="0"/>
          <w:numId w:val="1112"/>
        </w:numPr>
        <w:pStyle w:val="Compact"/>
      </w:pPr>
      <w:r>
        <w:t xml:space="preserve">Interpret linear models in the context of gene expression</w:t>
      </w:r>
    </w:p>
    <w:bookmarkEnd w:id="500"/>
    <w:bookmarkStart w:id="501" w:name="assignment-5"/>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bookmarkEnd w:id="501"/>
    <w:bookmarkEnd w:id="502"/>
    <w:bookmarkEnd w:id="503"/>
    <w:bookmarkStart w:id="511"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04">
              <w:r>
                <w:rPr>
                  <w:rStyle w:val="Hyperlink"/>
                </w:rPr>
                <w:t xml:space="preserve">Rajiv McCoy</w:t>
              </w:r>
            </w:hyperlink>
          </w:p>
        </w:tc>
      </w:tr>
      <w:tr>
        <w:tc>
          <w:tcPr/>
          <w:p>
            <w:pPr>
              <w:pStyle w:val="Compact"/>
              <w:jc w:val="left"/>
            </w:pPr>
            <w:r>
              <w:t xml:space="preserve">Content Author</w:t>
            </w:r>
          </w:p>
        </w:tc>
        <w:tc>
          <w:tcPr/>
          <w:p>
            <w:pPr>
              <w:pStyle w:val="Compact"/>
              <w:jc w:val="left"/>
            </w:pPr>
            <w:hyperlink r:id="rId505">
              <w:r>
                <w:rPr>
                  <w:rStyle w:val="Hyperlink"/>
                </w:rPr>
                <w:t xml:space="preserve">Stephanie Yan</w:t>
              </w:r>
            </w:hyperlink>
          </w:p>
        </w:tc>
      </w:tr>
      <w:tr>
        <w:tc>
          <w:tcPr/>
          <w:p>
            <w:pPr>
              <w:pStyle w:val="Compact"/>
              <w:jc w:val="left"/>
            </w:pPr>
            <w:r>
              <w:t xml:space="preserve">Content Author</w:t>
            </w:r>
          </w:p>
        </w:tc>
        <w:tc>
          <w:tcPr/>
          <w:p>
            <w:pPr>
              <w:pStyle w:val="Compact"/>
              <w:jc w:val="left"/>
            </w:pPr>
            <w:hyperlink r:id="rId506">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07">
              <w:r>
                <w:rPr>
                  <w:rStyle w:val="Hyperlink"/>
                </w:rPr>
                <w:t xml:space="preserve">Jeff Leek</w:t>
              </w:r>
            </w:hyperlink>
            <w:r>
              <w:t xml:space="preserve"> </w:t>
            </w:r>
            <w:r>
              <w:t xml:space="preserve">&amp;</w:t>
            </w:r>
            <w:r>
              <w:t xml:space="preserve"> </w:t>
            </w:r>
            <w:hyperlink r:id="rId508">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09">
              <w:r>
                <w:rPr>
                  <w:rStyle w:val="Hyperlink"/>
                </w:rPr>
                <w:t xml:space="preserve">Ali Madooei</w:t>
              </w:r>
            </w:hyperlink>
            <w:r>
              <w:t xml:space="preserve"> </w:t>
            </w:r>
            <w:r>
              <w:t xml:space="preserve">&amp;</w:t>
            </w:r>
            <w:r>
              <w:t xml:space="preserve"> </w:t>
            </w:r>
            <w:hyperlink r:id="rId510">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2023-04-20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8" Target="media/rId428.jp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479" Target="media/rId479.jpg" /><Relationship Type="http://schemas.openxmlformats.org/officeDocument/2006/relationships/image" Id="rId474" Target="media/rId474.png" /><Relationship Type="http://schemas.openxmlformats.org/officeDocument/2006/relationships/image" Id="rId484" Target="media/rId484.png" /><Relationship Type="http://schemas.openxmlformats.org/officeDocument/2006/relationships/image" Id="rId489" Target="media/rId489.png" /><Relationship Type="http://schemas.openxmlformats.org/officeDocument/2006/relationships/image" Id="rId470" Target="media/rId470.png" /><Relationship Type="http://schemas.openxmlformats.org/officeDocument/2006/relationships/image" Id="rId482" Target="media/rId482.png" /><Relationship Type="http://schemas.openxmlformats.org/officeDocument/2006/relationships/image" Id="rId465" Target="media/rId465.jpg" /><Relationship Type="http://schemas.openxmlformats.org/officeDocument/2006/relationships/image" Id="rId487" Target="media/rId487.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1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50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0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07" Target="https://jtleek.com/" TargetMode="External" /><Relationship Type="http://schemas.openxmlformats.org/officeDocument/2006/relationships/hyperlink" Id="rId50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0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0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1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50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0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07" Target="https://jtleek.com/" TargetMode="External" /><Relationship Type="http://schemas.openxmlformats.org/officeDocument/2006/relationships/hyperlink" Id="rId50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0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0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2023-04-20T02:19:05Z</dcterms:created>
  <dcterms:modified xsi:type="dcterms:W3CDTF">2023-04-20T02:19:05Z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